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DB426" w14:textId="7B78CEB1" w:rsidR="00F549C0" w:rsidRDefault="00F549C0" w:rsidP="00F549C0">
      <w:pPr>
        <w:pBdr>
          <w:bottom w:val="single" w:sz="6" w:space="2" w:color="CCCCCC"/>
        </w:pBdr>
        <w:spacing w:after="150" w:line="240" w:lineRule="auto"/>
        <w:outlineLvl w:val="1"/>
        <w:rPr>
          <w:rFonts w:ascii="Arial" w:eastAsia="Times New Roman" w:hAnsi="Arial" w:cs="Arial"/>
          <w:b/>
          <w:bCs/>
          <w:color w:val="23689F"/>
          <w:sz w:val="30"/>
          <w:szCs w:val="30"/>
        </w:rPr>
      </w:pPr>
      <w:r>
        <w:rPr>
          <w:rFonts w:ascii="Arial" w:eastAsia="Times New Roman" w:hAnsi="Arial" w:cs="Arial"/>
          <w:b/>
          <w:bCs/>
          <w:color w:val="23689F"/>
          <w:sz w:val="30"/>
          <w:szCs w:val="30"/>
        </w:rPr>
        <w:t xml:space="preserve">RIDOH </w:t>
      </w:r>
      <w:hyperlink r:id="rId5" w:history="1">
        <w:r>
          <w:rPr>
            <w:rStyle w:val="Hyperlink"/>
          </w:rPr>
          <w:t>https://health.ri.gov/covid/</w:t>
        </w:r>
      </w:hyperlink>
    </w:p>
    <w:p w14:paraId="7E82C18D" w14:textId="038E6ECF" w:rsidR="00F549C0" w:rsidRPr="00F549C0" w:rsidRDefault="00F549C0" w:rsidP="00F549C0">
      <w:pPr>
        <w:pBdr>
          <w:bottom w:val="single" w:sz="6" w:space="2" w:color="CCCCCC"/>
        </w:pBdr>
        <w:spacing w:after="150" w:line="240" w:lineRule="auto"/>
        <w:outlineLvl w:val="1"/>
        <w:rPr>
          <w:rFonts w:ascii="Arial" w:eastAsia="Times New Roman" w:hAnsi="Arial" w:cs="Arial"/>
          <w:b/>
          <w:bCs/>
          <w:color w:val="23689F"/>
          <w:sz w:val="30"/>
          <w:szCs w:val="30"/>
        </w:rPr>
      </w:pPr>
      <w:r w:rsidRPr="00F549C0">
        <w:rPr>
          <w:rFonts w:ascii="Arial" w:eastAsia="Times New Roman" w:hAnsi="Arial" w:cs="Arial"/>
          <w:b/>
          <w:bCs/>
          <w:color w:val="23689F"/>
          <w:sz w:val="30"/>
          <w:szCs w:val="30"/>
        </w:rPr>
        <w:t>Alerts and Latest guidance</w:t>
      </w:r>
    </w:p>
    <w:p w14:paraId="79483701" w14:textId="77777777" w:rsidR="00F549C0" w:rsidRPr="00F549C0" w:rsidRDefault="00F549C0" w:rsidP="00F549C0">
      <w:pPr>
        <w:numPr>
          <w:ilvl w:val="0"/>
          <w:numId w:val="1"/>
        </w:numPr>
        <w:spacing w:after="120" w:line="312" w:lineRule="atLeast"/>
        <w:ind w:left="465"/>
        <w:rPr>
          <w:rFonts w:ascii="Helvetica" w:eastAsia="Times New Roman" w:hAnsi="Helvetica" w:cs="Helvetica"/>
          <w:color w:val="222222"/>
          <w:sz w:val="24"/>
          <w:szCs w:val="24"/>
        </w:rPr>
      </w:pPr>
      <w:r w:rsidRPr="00F549C0">
        <w:rPr>
          <w:rFonts w:ascii="Helvetica" w:eastAsia="Times New Roman" w:hAnsi="Helvetica" w:cs="Helvetica"/>
          <w:b/>
          <w:bCs/>
          <w:color w:val="222222"/>
          <w:sz w:val="24"/>
          <w:szCs w:val="24"/>
        </w:rPr>
        <w:t>Reopening Rhode Island’s economy:</w:t>
      </w:r>
      <w:r w:rsidRPr="00F549C0">
        <w:rPr>
          <w:rFonts w:ascii="Helvetica" w:eastAsia="Times New Roman" w:hAnsi="Helvetica" w:cs="Helvetica"/>
          <w:color w:val="222222"/>
          <w:sz w:val="24"/>
          <w:szCs w:val="24"/>
        </w:rPr>
        <w:t> Phase III reopening guidelines and restrictions are in effect as of June 30. More details are provided on </w:t>
      </w:r>
      <w:hyperlink r:id="rId6" w:tgtFrame="_blank" w:history="1">
        <w:r w:rsidRPr="00F549C0">
          <w:rPr>
            <w:rFonts w:ascii="Helvetica" w:eastAsia="Times New Roman" w:hAnsi="Helvetica" w:cs="Helvetica"/>
            <w:color w:val="2BA6CB"/>
            <w:sz w:val="24"/>
            <w:szCs w:val="24"/>
            <w:u w:val="single"/>
          </w:rPr>
          <w:t>Reopeningri.com</w:t>
        </w:r>
      </w:hyperlink>
      <w:r w:rsidRPr="00F549C0">
        <w:rPr>
          <w:rFonts w:ascii="Helvetica" w:eastAsia="Times New Roman" w:hAnsi="Helvetica" w:cs="Helvetica"/>
          <w:color w:val="222222"/>
          <w:sz w:val="24"/>
          <w:szCs w:val="24"/>
        </w:rPr>
        <w:t>. </w:t>
      </w:r>
      <w:hyperlink r:id="rId7" w:tgtFrame="_blank" w:tooltip="COVID phase II guidelines" w:history="1">
        <w:r w:rsidRPr="00F549C0">
          <w:rPr>
            <w:rFonts w:ascii="Helvetica" w:eastAsia="Times New Roman" w:hAnsi="Helvetica" w:cs="Helvetica"/>
            <w:caps/>
            <w:color w:val="0000FF"/>
            <w:sz w:val="19"/>
            <w:szCs w:val="19"/>
            <w:u w:val="single"/>
          </w:rPr>
          <w:t>PHASE III GUIDELINES</w:t>
        </w:r>
      </w:hyperlink>
    </w:p>
    <w:p w14:paraId="62731A12" w14:textId="77777777" w:rsidR="00F549C0" w:rsidRPr="00F549C0" w:rsidRDefault="00F549C0" w:rsidP="00F549C0">
      <w:pPr>
        <w:numPr>
          <w:ilvl w:val="1"/>
          <w:numId w:val="1"/>
        </w:numPr>
        <w:spacing w:after="120" w:line="312" w:lineRule="atLeast"/>
        <w:ind w:left="690"/>
        <w:rPr>
          <w:rFonts w:ascii="inherit" w:eastAsia="Times New Roman" w:hAnsi="inherit" w:cs="Helvetica"/>
          <w:color w:val="222222"/>
          <w:sz w:val="24"/>
          <w:szCs w:val="24"/>
          <w:highlight w:val="yellow"/>
        </w:rPr>
      </w:pPr>
      <w:r w:rsidRPr="00F549C0">
        <w:rPr>
          <w:rFonts w:ascii="inherit" w:eastAsia="Times New Roman" w:hAnsi="inherit" w:cs="Helvetica"/>
          <w:b/>
          <w:bCs/>
          <w:color w:val="222222"/>
          <w:sz w:val="24"/>
          <w:szCs w:val="24"/>
          <w:highlight w:val="yellow"/>
        </w:rPr>
        <w:t>Travel:</w:t>
      </w:r>
      <w:r w:rsidRPr="00F549C0">
        <w:rPr>
          <w:rFonts w:ascii="inherit" w:eastAsia="Times New Roman" w:hAnsi="inherit" w:cs="Helvetica"/>
          <w:color w:val="222222"/>
          <w:sz w:val="24"/>
          <w:szCs w:val="24"/>
          <w:highlight w:val="yellow"/>
        </w:rPr>
        <w:t> If you are coming to Rhode Island from one of the states listed </w:t>
      </w:r>
      <w:hyperlink r:id="rId8" w:history="1">
        <w:r w:rsidRPr="00F549C0">
          <w:rPr>
            <w:rFonts w:ascii="inherit" w:eastAsia="Times New Roman" w:hAnsi="inherit" w:cs="Helvetica"/>
            <w:color w:val="2BA6CB"/>
            <w:sz w:val="24"/>
            <w:szCs w:val="24"/>
            <w:highlight w:val="yellow"/>
            <w:u w:val="single"/>
          </w:rPr>
          <w:t>here</w:t>
        </w:r>
      </w:hyperlink>
      <w:r w:rsidRPr="00F549C0">
        <w:rPr>
          <w:rFonts w:ascii="inherit" w:eastAsia="Times New Roman" w:hAnsi="inherit" w:cs="Helvetica"/>
          <w:color w:val="222222"/>
          <w:sz w:val="24"/>
          <w:szCs w:val="24"/>
          <w:highlight w:val="yellow"/>
        </w:rPr>
        <w:t> with a positivity rate of COVID-19 greater than 5%, you will either have to self-quarantine for 14 days while in Rhode Island, or produce proof of a negative test for COVID-19 that was taken within 72 hours </w:t>
      </w:r>
      <w:r w:rsidRPr="00F549C0">
        <w:rPr>
          <w:rFonts w:ascii="inherit" w:eastAsia="Times New Roman" w:hAnsi="inherit" w:cs="Helvetica"/>
          <w:b/>
          <w:bCs/>
          <w:color w:val="222222"/>
          <w:sz w:val="24"/>
          <w:szCs w:val="24"/>
          <w:highlight w:val="yellow"/>
        </w:rPr>
        <w:t>prior to arrival</w:t>
      </w:r>
      <w:r w:rsidRPr="00F549C0">
        <w:rPr>
          <w:rFonts w:ascii="inherit" w:eastAsia="Times New Roman" w:hAnsi="inherit" w:cs="Helvetica"/>
          <w:color w:val="222222"/>
          <w:sz w:val="24"/>
          <w:szCs w:val="24"/>
          <w:highlight w:val="yellow"/>
        </w:rPr>
        <w:t> in Rhode Island. If you receive a test </w:t>
      </w:r>
      <w:r w:rsidRPr="00F549C0">
        <w:rPr>
          <w:rFonts w:ascii="inherit" w:eastAsia="Times New Roman" w:hAnsi="inherit" w:cs="Helvetica"/>
          <w:b/>
          <w:bCs/>
          <w:color w:val="222222"/>
          <w:sz w:val="24"/>
          <w:szCs w:val="24"/>
          <w:highlight w:val="yellow"/>
        </w:rPr>
        <w:t>after</w:t>
      </w:r>
      <w:r w:rsidRPr="00F549C0">
        <w:rPr>
          <w:rFonts w:ascii="inherit" w:eastAsia="Times New Roman" w:hAnsi="inherit" w:cs="Helvetica"/>
          <w:color w:val="222222"/>
          <w:sz w:val="24"/>
          <w:szCs w:val="24"/>
          <w:highlight w:val="yellow"/>
        </w:rPr>
        <w:t> arriving in Rhode Island and get a negative test result, you can stop quarantining. </w:t>
      </w:r>
      <w:hyperlink r:id="rId9" w:history="1">
        <w:r w:rsidRPr="00F549C0">
          <w:rPr>
            <w:rFonts w:ascii="inherit" w:eastAsia="Times New Roman" w:hAnsi="inherit" w:cs="Helvetica"/>
            <w:caps/>
            <w:color w:val="0000FF"/>
            <w:sz w:val="19"/>
            <w:szCs w:val="19"/>
            <w:highlight w:val="yellow"/>
            <w:u w:val="single"/>
          </w:rPr>
          <w:t>LEARN MORE ABOUT RI TRAVEL RESTRICTIONS</w:t>
        </w:r>
      </w:hyperlink>
    </w:p>
    <w:p w14:paraId="74BC165A" w14:textId="77777777" w:rsidR="00F549C0" w:rsidRPr="00F549C0" w:rsidRDefault="00F549C0" w:rsidP="00F549C0">
      <w:pPr>
        <w:numPr>
          <w:ilvl w:val="1"/>
          <w:numId w:val="1"/>
        </w:numPr>
        <w:spacing w:after="120" w:line="312" w:lineRule="atLeast"/>
        <w:ind w:left="690"/>
        <w:rPr>
          <w:rFonts w:ascii="inherit" w:eastAsia="Times New Roman" w:hAnsi="inherit" w:cs="Helvetica"/>
          <w:color w:val="222222"/>
          <w:sz w:val="24"/>
          <w:szCs w:val="24"/>
        </w:rPr>
      </w:pPr>
      <w:r w:rsidRPr="00F549C0">
        <w:rPr>
          <w:rFonts w:ascii="inherit" w:eastAsia="Times New Roman" w:hAnsi="inherit" w:cs="Helvetica"/>
          <w:b/>
          <w:bCs/>
          <w:color w:val="222222"/>
          <w:sz w:val="24"/>
          <w:szCs w:val="24"/>
        </w:rPr>
        <w:t>Social Gatherings:</w:t>
      </w:r>
      <w:r w:rsidRPr="00F549C0">
        <w:rPr>
          <w:rFonts w:ascii="inherit" w:eastAsia="Times New Roman" w:hAnsi="inherit" w:cs="Helvetica"/>
          <w:color w:val="222222"/>
          <w:sz w:val="24"/>
          <w:szCs w:val="24"/>
        </w:rPr>
        <w:t> </w:t>
      </w:r>
      <w:hyperlink r:id="rId10" w:tgtFrame="_blank" w:history="1">
        <w:r w:rsidRPr="00F549C0">
          <w:rPr>
            <w:rFonts w:ascii="inherit" w:eastAsia="Times New Roman" w:hAnsi="inherit" w:cs="Helvetica"/>
            <w:caps/>
            <w:color w:val="0000FF"/>
            <w:sz w:val="19"/>
            <w:szCs w:val="19"/>
            <w:u w:val="single"/>
          </w:rPr>
          <w:t>PHASE III GUIDELINES</w:t>
        </w:r>
      </w:hyperlink>
    </w:p>
    <w:p w14:paraId="6EB27786" w14:textId="77777777" w:rsidR="00F549C0" w:rsidRPr="00F549C0" w:rsidRDefault="00F549C0" w:rsidP="00F549C0">
      <w:pPr>
        <w:numPr>
          <w:ilvl w:val="1"/>
          <w:numId w:val="1"/>
        </w:numPr>
        <w:spacing w:after="120" w:line="312" w:lineRule="atLeast"/>
        <w:ind w:left="690"/>
        <w:rPr>
          <w:rFonts w:ascii="inherit" w:eastAsia="Times New Roman" w:hAnsi="inherit" w:cs="Helvetica"/>
          <w:color w:val="222222"/>
          <w:sz w:val="24"/>
          <w:szCs w:val="24"/>
        </w:rPr>
      </w:pPr>
      <w:r w:rsidRPr="00F549C0">
        <w:rPr>
          <w:rFonts w:ascii="inherit" w:eastAsia="Times New Roman" w:hAnsi="inherit" w:cs="Helvetica"/>
          <w:b/>
          <w:bCs/>
          <w:color w:val="222222"/>
          <w:sz w:val="24"/>
          <w:szCs w:val="24"/>
        </w:rPr>
        <w:t>Businesses/Restaurants/Retail/Personal Services/Gyms:</w:t>
      </w:r>
      <w:r w:rsidRPr="00F549C0">
        <w:rPr>
          <w:rFonts w:ascii="inherit" w:eastAsia="Times New Roman" w:hAnsi="inherit" w:cs="Helvetica"/>
          <w:color w:val="222222"/>
          <w:sz w:val="24"/>
          <w:szCs w:val="24"/>
        </w:rPr>
        <w:t> </w:t>
      </w:r>
      <w:hyperlink r:id="rId11" w:tgtFrame="_blank" w:history="1">
        <w:r w:rsidRPr="00F549C0">
          <w:rPr>
            <w:rFonts w:ascii="inherit" w:eastAsia="Times New Roman" w:hAnsi="inherit" w:cs="Helvetica"/>
            <w:caps/>
            <w:color w:val="0000FF"/>
            <w:sz w:val="19"/>
            <w:szCs w:val="19"/>
            <w:u w:val="single"/>
          </w:rPr>
          <w:t>PHASE III GUIDELINES</w:t>
        </w:r>
      </w:hyperlink>
    </w:p>
    <w:p w14:paraId="4FA04132" w14:textId="77777777" w:rsidR="00F549C0" w:rsidRPr="00F549C0" w:rsidRDefault="00F549C0" w:rsidP="00F549C0">
      <w:pPr>
        <w:numPr>
          <w:ilvl w:val="0"/>
          <w:numId w:val="1"/>
        </w:numPr>
        <w:spacing w:after="120" w:line="312" w:lineRule="atLeast"/>
        <w:ind w:left="465"/>
        <w:rPr>
          <w:rFonts w:ascii="Helvetica" w:eastAsia="Times New Roman" w:hAnsi="Helvetica" w:cs="Helvetica"/>
          <w:color w:val="222222"/>
          <w:sz w:val="24"/>
          <w:szCs w:val="24"/>
        </w:rPr>
      </w:pPr>
      <w:r w:rsidRPr="00F549C0">
        <w:rPr>
          <w:rFonts w:ascii="Helvetica" w:eastAsia="Times New Roman" w:hAnsi="Helvetica" w:cs="Helvetica"/>
          <w:b/>
          <w:bCs/>
          <w:color w:val="222222"/>
          <w:sz w:val="24"/>
          <w:szCs w:val="24"/>
        </w:rPr>
        <w:t>New Regulations:</w:t>
      </w:r>
      <w:r w:rsidRPr="00F549C0">
        <w:rPr>
          <w:rFonts w:ascii="Helvetica" w:eastAsia="Times New Roman" w:hAnsi="Helvetica" w:cs="Helvetica"/>
          <w:color w:val="222222"/>
          <w:sz w:val="24"/>
          <w:szCs w:val="24"/>
        </w:rPr>
        <w:t> In order to prevent further spread of COVID-19 as individuals begin to leave their homes more frequently and establishments begin to reopen, protective measures must be followed and implemented for individuals and establishments to resume operations so that the public's health and welfare is protected. </w:t>
      </w:r>
      <w:hyperlink r:id="rId12" w:history="1">
        <w:r w:rsidRPr="00F549C0">
          <w:rPr>
            <w:rFonts w:ascii="Helvetica" w:eastAsia="Times New Roman" w:hAnsi="Helvetica" w:cs="Helvetica"/>
            <w:color w:val="2BA6CB"/>
            <w:sz w:val="24"/>
            <w:szCs w:val="24"/>
            <w:u w:val="single"/>
          </w:rPr>
          <w:t>RIDOH Regulation</w:t>
        </w:r>
      </w:hyperlink>
    </w:p>
    <w:p w14:paraId="51F1FC32" w14:textId="77777777" w:rsidR="00F549C0" w:rsidRPr="00F549C0" w:rsidRDefault="00F549C0" w:rsidP="00F549C0">
      <w:pPr>
        <w:numPr>
          <w:ilvl w:val="0"/>
          <w:numId w:val="1"/>
        </w:numPr>
        <w:spacing w:after="120" w:line="312" w:lineRule="atLeast"/>
        <w:ind w:left="465"/>
        <w:rPr>
          <w:rFonts w:ascii="Helvetica" w:eastAsia="Times New Roman" w:hAnsi="Helvetica" w:cs="Helvetica"/>
          <w:color w:val="222222"/>
          <w:sz w:val="24"/>
          <w:szCs w:val="24"/>
        </w:rPr>
      </w:pPr>
      <w:r w:rsidRPr="00F549C0">
        <w:rPr>
          <w:rFonts w:ascii="Helvetica" w:eastAsia="Times New Roman" w:hAnsi="Helvetica" w:cs="Helvetica"/>
          <w:b/>
          <w:bCs/>
          <w:color w:val="222222"/>
          <w:sz w:val="24"/>
          <w:szCs w:val="24"/>
        </w:rPr>
        <w:t>CDC Update:</w:t>
      </w:r>
      <w:r w:rsidRPr="00F549C0">
        <w:rPr>
          <w:rFonts w:ascii="Helvetica" w:eastAsia="Times New Roman" w:hAnsi="Helvetica" w:cs="Helvetica"/>
          <w:color w:val="222222"/>
          <w:sz w:val="24"/>
          <w:szCs w:val="24"/>
        </w:rPr>
        <w:t> Public Guidance on Doing Errands and Going Out </w:t>
      </w:r>
      <w:hyperlink r:id="rId13" w:tgtFrame="_blank" w:history="1">
        <w:r w:rsidRPr="00F549C0">
          <w:rPr>
            <w:rFonts w:ascii="Helvetica" w:eastAsia="Times New Roman" w:hAnsi="Helvetica" w:cs="Helvetica"/>
            <w:caps/>
            <w:color w:val="0000FF"/>
            <w:sz w:val="19"/>
            <w:szCs w:val="19"/>
            <w:u w:val="single"/>
          </w:rPr>
          <w:t>MORE</w:t>
        </w:r>
      </w:hyperlink>
      <w:r w:rsidRPr="00F549C0">
        <w:rPr>
          <w:rFonts w:ascii="Helvetica" w:eastAsia="Times New Roman" w:hAnsi="Helvetica" w:cs="Helvetica"/>
          <w:color w:val="222222"/>
          <w:sz w:val="24"/>
          <w:szCs w:val="24"/>
        </w:rPr>
        <w:t>; Guidance to assist states as they reopen. </w:t>
      </w:r>
      <w:hyperlink r:id="rId14" w:tgtFrame="_blank" w:history="1">
        <w:r w:rsidRPr="00F549C0">
          <w:rPr>
            <w:rFonts w:ascii="Helvetica" w:eastAsia="Times New Roman" w:hAnsi="Helvetica" w:cs="Helvetica"/>
            <w:caps/>
            <w:color w:val="0000FF"/>
            <w:sz w:val="19"/>
            <w:szCs w:val="19"/>
            <w:u w:val="single"/>
          </w:rPr>
          <w:t>MORE</w:t>
        </w:r>
      </w:hyperlink>
    </w:p>
    <w:p w14:paraId="4B64EC9F" w14:textId="77777777" w:rsidR="00F549C0" w:rsidRPr="00F549C0" w:rsidRDefault="00F549C0" w:rsidP="00F549C0">
      <w:pPr>
        <w:numPr>
          <w:ilvl w:val="0"/>
          <w:numId w:val="1"/>
        </w:numPr>
        <w:spacing w:after="120" w:line="312" w:lineRule="atLeast"/>
        <w:ind w:left="465"/>
        <w:rPr>
          <w:rFonts w:ascii="Helvetica" w:eastAsia="Times New Roman" w:hAnsi="Helvetica" w:cs="Helvetica"/>
          <w:color w:val="222222"/>
          <w:sz w:val="24"/>
          <w:szCs w:val="24"/>
        </w:rPr>
      </w:pPr>
      <w:r w:rsidRPr="00F549C0">
        <w:rPr>
          <w:rFonts w:ascii="Helvetica" w:eastAsia="Times New Roman" w:hAnsi="Helvetica" w:cs="Helvetica"/>
          <w:b/>
          <w:bCs/>
          <w:color w:val="222222"/>
          <w:sz w:val="24"/>
          <w:szCs w:val="24"/>
        </w:rPr>
        <w:t>Multisystem inflammatory syndrome associated with COVID (MIS-C)</w:t>
      </w:r>
      <w:r w:rsidRPr="00F549C0">
        <w:rPr>
          <w:rFonts w:ascii="Helvetica" w:eastAsia="Times New Roman" w:hAnsi="Helvetica" w:cs="Helvetica"/>
          <w:color w:val="222222"/>
          <w:sz w:val="24"/>
          <w:szCs w:val="24"/>
        </w:rPr>
        <w:t>: MIS-C is a rare, new health condition affecting children. Some doctors think the condition is related to having COVID-19, but the connection is still not clear. </w:t>
      </w:r>
      <w:hyperlink r:id="rId15" w:history="1">
        <w:r w:rsidRPr="00F549C0">
          <w:rPr>
            <w:rFonts w:ascii="Helvetica" w:eastAsia="Times New Roman" w:hAnsi="Helvetica" w:cs="Helvetica"/>
            <w:caps/>
            <w:color w:val="0000FF"/>
            <w:sz w:val="19"/>
            <w:szCs w:val="19"/>
            <w:u w:val="single"/>
          </w:rPr>
          <w:t>MORE</w:t>
        </w:r>
      </w:hyperlink>
    </w:p>
    <w:p w14:paraId="79D65D29" w14:textId="77777777" w:rsidR="00F549C0" w:rsidRPr="00F549C0" w:rsidRDefault="00F549C0" w:rsidP="00F549C0">
      <w:pPr>
        <w:numPr>
          <w:ilvl w:val="0"/>
          <w:numId w:val="1"/>
        </w:numPr>
        <w:spacing w:after="120" w:line="312" w:lineRule="atLeast"/>
        <w:ind w:left="465"/>
        <w:rPr>
          <w:rFonts w:ascii="Helvetica" w:eastAsia="Times New Roman" w:hAnsi="Helvetica" w:cs="Helvetica"/>
          <w:color w:val="222222"/>
          <w:sz w:val="24"/>
          <w:szCs w:val="24"/>
        </w:rPr>
      </w:pPr>
      <w:r w:rsidRPr="00F549C0">
        <w:rPr>
          <w:rFonts w:ascii="Helvetica" w:eastAsia="Times New Roman" w:hAnsi="Helvetica" w:cs="Helvetica"/>
          <w:b/>
          <w:bCs/>
          <w:color w:val="222222"/>
          <w:sz w:val="24"/>
          <w:szCs w:val="24"/>
        </w:rPr>
        <w:t>Executive Orders: </w:t>
      </w:r>
      <w:r w:rsidRPr="00F549C0">
        <w:rPr>
          <w:rFonts w:ascii="Helvetica" w:eastAsia="Times New Roman" w:hAnsi="Helvetica" w:cs="Helvetica"/>
          <w:color w:val="222222"/>
          <w:sz w:val="24"/>
          <w:szCs w:val="24"/>
        </w:rPr>
        <w:t>The following executive orders will be extended to August 3rd:</w:t>
      </w:r>
    </w:p>
    <w:p w14:paraId="2FC0E016" w14:textId="77777777" w:rsidR="00F549C0" w:rsidRPr="00F549C0" w:rsidRDefault="00F549C0" w:rsidP="00F549C0">
      <w:pPr>
        <w:numPr>
          <w:ilvl w:val="1"/>
          <w:numId w:val="2"/>
        </w:numPr>
        <w:spacing w:after="120" w:line="312" w:lineRule="atLeast"/>
        <w:ind w:left="930"/>
        <w:rPr>
          <w:rFonts w:ascii="inherit" w:eastAsia="Times New Roman" w:hAnsi="inherit" w:cs="Helvetica"/>
          <w:color w:val="222222"/>
        </w:rPr>
      </w:pPr>
      <w:r w:rsidRPr="00F549C0">
        <w:rPr>
          <w:rFonts w:ascii="inherit" w:eastAsia="Times New Roman" w:hAnsi="inherit" w:cs="Helvetica"/>
          <w:b/>
          <w:bCs/>
          <w:color w:val="222222"/>
        </w:rPr>
        <w:t>Face coverings:</w:t>
      </w:r>
      <w:r w:rsidRPr="00F549C0">
        <w:rPr>
          <w:rFonts w:ascii="inherit" w:eastAsia="Times New Roman" w:hAnsi="inherit" w:cs="Helvetica"/>
          <w:color w:val="222222"/>
        </w:rPr>
        <w:t> Face coverings must be worn in public—both indoors and outdoors—whenever six feet of social distance cannot be maintained. Exceptions are made for children under two years of age and anyone whose health would be negatively impacted by wearing a face covering.   </w:t>
      </w:r>
    </w:p>
    <w:p w14:paraId="15617EF1" w14:textId="77777777" w:rsidR="00F549C0" w:rsidRPr="00F549C0" w:rsidRDefault="00F549C0" w:rsidP="00F549C0">
      <w:pPr>
        <w:numPr>
          <w:ilvl w:val="1"/>
          <w:numId w:val="2"/>
        </w:numPr>
        <w:spacing w:after="120" w:line="312" w:lineRule="atLeast"/>
        <w:ind w:left="930"/>
        <w:rPr>
          <w:rFonts w:ascii="inherit" w:eastAsia="Times New Roman" w:hAnsi="inherit" w:cs="Helvetica"/>
          <w:color w:val="222222"/>
        </w:rPr>
      </w:pPr>
      <w:r w:rsidRPr="00F549C0">
        <w:rPr>
          <w:rFonts w:ascii="inherit" w:eastAsia="Times New Roman" w:hAnsi="inherit" w:cs="Helvetica"/>
          <w:b/>
          <w:bCs/>
          <w:color w:val="222222"/>
        </w:rPr>
        <w:t>Telemedicine:</w:t>
      </w:r>
      <w:r w:rsidRPr="00F549C0">
        <w:rPr>
          <w:rFonts w:ascii="inherit" w:eastAsia="Times New Roman" w:hAnsi="inherit" w:cs="Helvetica"/>
          <w:color w:val="222222"/>
        </w:rPr>
        <w:t> Health insurers must cover telemedicine for primary care, specialty care, and mental and behavioral health care conducted over the phone or by videoconference. Reimbursement rates for providers must be the same as reimbursement rates for in-office visits. </w:t>
      </w:r>
    </w:p>
    <w:p w14:paraId="584F99F3" w14:textId="77777777" w:rsidR="00F549C0" w:rsidRPr="00F549C0" w:rsidRDefault="00F549C0" w:rsidP="00F549C0">
      <w:pPr>
        <w:numPr>
          <w:ilvl w:val="1"/>
          <w:numId w:val="2"/>
        </w:numPr>
        <w:spacing w:after="120" w:line="312" w:lineRule="atLeast"/>
        <w:ind w:left="930"/>
        <w:rPr>
          <w:rFonts w:ascii="inherit" w:eastAsia="Times New Roman" w:hAnsi="inherit" w:cs="Helvetica"/>
          <w:color w:val="222222"/>
        </w:rPr>
      </w:pPr>
      <w:r w:rsidRPr="00F549C0">
        <w:rPr>
          <w:rFonts w:ascii="inherit" w:eastAsia="Times New Roman" w:hAnsi="inherit" w:cs="Helvetica"/>
          <w:b/>
          <w:bCs/>
          <w:color w:val="222222"/>
        </w:rPr>
        <w:t>Disaster declaration:</w:t>
      </w:r>
      <w:r w:rsidRPr="00F549C0">
        <w:rPr>
          <w:rFonts w:ascii="inherit" w:eastAsia="Times New Roman" w:hAnsi="inherit" w:cs="Helvetica"/>
          <w:color w:val="222222"/>
        </w:rPr>
        <w:t> The state of emergency declaration ensures that Rhode Island has access to all the necessary resources to support our response to this pandemic.</w:t>
      </w:r>
    </w:p>
    <w:p w14:paraId="00D1D42D" w14:textId="77777777" w:rsidR="00F549C0" w:rsidRPr="00F549C0" w:rsidRDefault="00F549C0" w:rsidP="00F549C0">
      <w:pPr>
        <w:numPr>
          <w:ilvl w:val="1"/>
          <w:numId w:val="2"/>
        </w:numPr>
        <w:spacing w:after="120" w:line="312" w:lineRule="atLeast"/>
        <w:ind w:left="930"/>
        <w:rPr>
          <w:rFonts w:ascii="inherit" w:eastAsia="Times New Roman" w:hAnsi="inherit" w:cs="Helvetica"/>
          <w:color w:val="222222"/>
        </w:rPr>
      </w:pPr>
      <w:r w:rsidRPr="00F549C0">
        <w:rPr>
          <w:rFonts w:ascii="inherit" w:eastAsia="Times New Roman" w:hAnsi="inherit" w:cs="Helvetica"/>
          <w:b/>
          <w:bCs/>
          <w:color w:val="222222"/>
        </w:rPr>
        <w:lastRenderedPageBreak/>
        <w:t>Firearms:</w:t>
      </w:r>
      <w:r w:rsidRPr="00F549C0">
        <w:rPr>
          <w:rFonts w:ascii="inherit" w:eastAsia="Times New Roman" w:hAnsi="inherit" w:cs="Helvetica"/>
          <w:color w:val="222222"/>
        </w:rPr>
        <w:t> In keeping with a request from the Rhode Island Police Chiefs’ Association, the Governor has extended the time period that law enforcement has to complete a background for a gun permit from seven days to 30 days.</w:t>
      </w:r>
    </w:p>
    <w:p w14:paraId="0CC56E1C" w14:textId="77777777" w:rsidR="00F549C0" w:rsidRPr="00F549C0" w:rsidRDefault="00F549C0" w:rsidP="00F549C0">
      <w:pPr>
        <w:numPr>
          <w:ilvl w:val="1"/>
          <w:numId w:val="2"/>
        </w:numPr>
        <w:spacing w:after="120" w:line="312" w:lineRule="atLeast"/>
        <w:ind w:left="930"/>
        <w:rPr>
          <w:rFonts w:ascii="inherit" w:eastAsia="Times New Roman" w:hAnsi="inherit" w:cs="Helvetica"/>
          <w:color w:val="222222"/>
        </w:rPr>
      </w:pPr>
      <w:r w:rsidRPr="00F549C0">
        <w:rPr>
          <w:rFonts w:ascii="inherit" w:eastAsia="Times New Roman" w:hAnsi="inherit" w:cs="Helvetica"/>
          <w:b/>
          <w:bCs/>
          <w:color w:val="222222"/>
        </w:rPr>
        <w:t>Quarantine:</w:t>
      </w:r>
      <w:r w:rsidRPr="00F549C0">
        <w:rPr>
          <w:rFonts w:ascii="inherit" w:eastAsia="Times New Roman" w:hAnsi="inherit" w:cs="Helvetica"/>
          <w:color w:val="222222"/>
        </w:rPr>
        <w:t> People must follow the State’s quarantine and isolation guidance.  </w:t>
      </w:r>
      <w:hyperlink r:id="rId16" w:anchor="quarantine" w:history="1">
        <w:r w:rsidRPr="00F549C0">
          <w:rPr>
            <w:rFonts w:ascii="inherit" w:eastAsia="Times New Roman" w:hAnsi="inherit" w:cs="Helvetica"/>
            <w:caps/>
            <w:color w:val="0000FF"/>
            <w:sz w:val="18"/>
            <w:szCs w:val="18"/>
            <w:u w:val="single"/>
          </w:rPr>
          <w:t>MORE</w:t>
        </w:r>
      </w:hyperlink>
    </w:p>
    <w:p w14:paraId="0D1DDEA6" w14:textId="77777777" w:rsidR="00F549C0" w:rsidRPr="00F549C0" w:rsidRDefault="00F549C0" w:rsidP="00F549C0">
      <w:pPr>
        <w:numPr>
          <w:ilvl w:val="1"/>
          <w:numId w:val="2"/>
        </w:numPr>
        <w:spacing w:after="120" w:line="312" w:lineRule="atLeast"/>
        <w:ind w:left="930"/>
        <w:rPr>
          <w:rFonts w:ascii="inherit" w:eastAsia="Times New Roman" w:hAnsi="inherit" w:cs="Helvetica"/>
          <w:color w:val="222222"/>
        </w:rPr>
      </w:pPr>
      <w:hyperlink r:id="rId17" w:history="1">
        <w:r w:rsidRPr="00F549C0">
          <w:rPr>
            <w:rFonts w:ascii="inherit" w:eastAsia="Times New Roman" w:hAnsi="inherit" w:cs="Helvetica"/>
            <w:caps/>
            <w:color w:val="0000FF"/>
            <w:sz w:val="18"/>
            <w:szCs w:val="18"/>
            <w:u w:val="single"/>
          </w:rPr>
          <w:t>MORE</w:t>
        </w:r>
      </w:hyperlink>
    </w:p>
    <w:p w14:paraId="4DF3474E" w14:textId="77777777" w:rsidR="00F549C0" w:rsidRPr="00F549C0" w:rsidRDefault="00F549C0" w:rsidP="00F549C0">
      <w:pPr>
        <w:numPr>
          <w:ilvl w:val="0"/>
          <w:numId w:val="2"/>
        </w:numPr>
        <w:spacing w:after="120" w:line="312" w:lineRule="atLeast"/>
        <w:ind w:left="465"/>
        <w:rPr>
          <w:rFonts w:ascii="Helvetica" w:eastAsia="Times New Roman" w:hAnsi="Helvetica" w:cs="Helvetica"/>
          <w:color w:val="222222"/>
          <w:sz w:val="24"/>
          <w:szCs w:val="24"/>
        </w:rPr>
      </w:pPr>
      <w:r w:rsidRPr="00F549C0">
        <w:rPr>
          <w:rFonts w:ascii="Helvetica" w:eastAsia="Times New Roman" w:hAnsi="Helvetica" w:cs="Helvetica"/>
          <w:b/>
          <w:bCs/>
          <w:color w:val="222222"/>
          <w:sz w:val="24"/>
          <w:szCs w:val="24"/>
        </w:rPr>
        <w:t>Transparency Portal:</w:t>
      </w:r>
      <w:r w:rsidRPr="00F549C0">
        <w:rPr>
          <w:rFonts w:ascii="Helvetica" w:eastAsia="Times New Roman" w:hAnsi="Helvetica" w:cs="Helvetica"/>
          <w:color w:val="222222"/>
          <w:sz w:val="24"/>
          <w:szCs w:val="24"/>
        </w:rPr>
        <w:t> The state launched a new </w:t>
      </w:r>
      <w:hyperlink r:id="rId18" w:history="1">
        <w:r w:rsidRPr="00F549C0">
          <w:rPr>
            <w:rFonts w:ascii="Helvetica" w:eastAsia="Times New Roman" w:hAnsi="Helvetica" w:cs="Helvetica"/>
            <w:color w:val="2BA6CB"/>
            <w:sz w:val="24"/>
            <w:szCs w:val="24"/>
            <w:u w:val="single"/>
          </w:rPr>
          <w:t>website</w:t>
        </w:r>
      </w:hyperlink>
      <w:r w:rsidRPr="00F549C0">
        <w:rPr>
          <w:rFonts w:ascii="Helvetica" w:eastAsia="Times New Roman" w:hAnsi="Helvetica" w:cs="Helvetica"/>
          <w:color w:val="222222"/>
          <w:sz w:val="24"/>
          <w:szCs w:val="24"/>
        </w:rPr>
        <w:t> dedicated to tracking coronavirus spending.</w:t>
      </w:r>
    </w:p>
    <w:p w14:paraId="382F9218" w14:textId="77777777" w:rsidR="00786958" w:rsidRDefault="00F549C0"/>
    <w:sectPr w:rsidR="00786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A0A0A"/>
    <w:multiLevelType w:val="multilevel"/>
    <w:tmpl w:val="A722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C0"/>
    <w:rsid w:val="00075C33"/>
    <w:rsid w:val="00776D3C"/>
    <w:rsid w:val="00F5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EA34"/>
  <w15:chartTrackingRefBased/>
  <w15:docId w15:val="{9351CDCF-50CC-4534-85F0-A9B5EE02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7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e/2PACX-1vSUCk9FlHBoJt5ZO0U6PKTTY7jHH8V4MovED0WiqpTTixdgMSCnUWI25xX5DCmQmtLknzu7Bo0jwY02/pubhtml?gid=0&amp;single=true" TargetMode="External"/><Relationship Id="rId13" Type="http://schemas.openxmlformats.org/officeDocument/2006/relationships/hyperlink" Target="https://www.cdc.gov/coronavirus/2019-ncov/daily-life-coping/going-out.html" TargetMode="External"/><Relationship Id="rId18" Type="http://schemas.openxmlformats.org/officeDocument/2006/relationships/hyperlink" Target="http://www.transparency.ri.gov/covid-19/" TargetMode="External"/><Relationship Id="rId3" Type="http://schemas.openxmlformats.org/officeDocument/2006/relationships/settings" Target="settings.xml"/><Relationship Id="rId7" Type="http://schemas.openxmlformats.org/officeDocument/2006/relationships/hyperlink" Target="https://www.reopeningri.com/resource_pdfs/Phase-III/Phase-III-Picking-up-speed.pdf" TargetMode="External"/><Relationship Id="rId12" Type="http://schemas.openxmlformats.org/officeDocument/2006/relationships/hyperlink" Target="https://rules.sos.ri.gov/regulations/part/216-50-15-7" TargetMode="External"/><Relationship Id="rId17" Type="http://schemas.openxmlformats.org/officeDocument/2006/relationships/hyperlink" Target="http://www.governor.ri.gov/newsroom/orders/" TargetMode="External"/><Relationship Id="rId2" Type="http://schemas.openxmlformats.org/officeDocument/2006/relationships/styles" Target="styles.xml"/><Relationship Id="rId16" Type="http://schemas.openxmlformats.org/officeDocument/2006/relationships/hyperlink" Target="https://health.ri.gov/diseases/ncov2019/index.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openingri.com/" TargetMode="External"/><Relationship Id="rId11" Type="http://schemas.openxmlformats.org/officeDocument/2006/relationships/hyperlink" Target="https://www.reopeningri.com/resource_pdfs/Phase-III/Phase-III-Picking-up-speed.pdf" TargetMode="External"/><Relationship Id="rId5" Type="http://schemas.openxmlformats.org/officeDocument/2006/relationships/hyperlink" Target="https://health.ri.gov/covid/" TargetMode="External"/><Relationship Id="rId15" Type="http://schemas.openxmlformats.org/officeDocument/2006/relationships/hyperlink" Target="https://health.ri.gov/diseases/infectious/?parm=164" TargetMode="External"/><Relationship Id="rId10" Type="http://schemas.openxmlformats.org/officeDocument/2006/relationships/hyperlink" Target="https://www.reopeningri.com/resource_pdfs/Phase-III/Phase-III-Picking-up-speed.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ri.gov/covid/travel/" TargetMode="External"/><Relationship Id="rId14" Type="http://schemas.openxmlformats.org/officeDocument/2006/relationships/hyperlink" Target="https://www.cdc.gov/media/releases/2020/s0520-cdc-resources-op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scalise@riala.org</dc:creator>
  <cp:keywords/>
  <dc:description/>
  <cp:lastModifiedBy>scalise@riala.org</cp:lastModifiedBy>
  <cp:revision>1</cp:revision>
  <dcterms:created xsi:type="dcterms:W3CDTF">2020-07-02T19:05:00Z</dcterms:created>
  <dcterms:modified xsi:type="dcterms:W3CDTF">2020-07-02T19:07:00Z</dcterms:modified>
</cp:coreProperties>
</file>